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F8" w:rsidRPr="0026502F" w:rsidRDefault="00D22643" w:rsidP="00D22643">
      <w:pPr>
        <w:spacing w:before="80" w:after="0"/>
        <w:jc w:val="right"/>
        <w:rPr>
          <w:rFonts w:ascii="Times New Roman" w:hAnsi="Times New Roman" w:cs="Times New Roman"/>
        </w:rPr>
      </w:pPr>
      <w:r w:rsidRPr="0026502F">
        <w:rPr>
          <w:rFonts w:ascii="Times New Roman" w:hAnsi="Times New Roman" w:cs="Times New Roman"/>
          <w:color w:val="000000"/>
        </w:rPr>
        <w:t xml:space="preserve">Załącznik nr </w:t>
      </w:r>
      <w:r w:rsidR="00B92BC0" w:rsidRPr="0026502F">
        <w:rPr>
          <w:rFonts w:ascii="Times New Roman" w:hAnsi="Times New Roman" w:cs="Times New Roman"/>
          <w:color w:val="000000"/>
        </w:rPr>
        <w:t>5</w:t>
      </w:r>
    </w:p>
    <w:p w:rsidR="0026502F" w:rsidRDefault="0026502F" w:rsidP="00322FF8">
      <w:pPr>
        <w:spacing w:before="25" w:after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DOPUSZCZALNE WARTOŚCI ATRYBUTÓW PUNKTÓW GRANICZNYCH</w:t>
      </w:r>
    </w:p>
    <w:p w:rsidR="00065535" w:rsidRPr="00065535" w:rsidRDefault="00065535" w:rsidP="00322FF8">
      <w:pPr>
        <w:spacing w:before="25"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322FF8" w:rsidRPr="00065535" w:rsidRDefault="00322FF8" w:rsidP="00322FF8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Sposób pozyskania danych o punkcie granicznym</w:t>
      </w:r>
      <w:r w:rsidR="00D22643" w:rsidRPr="00065535">
        <w:rPr>
          <w:rFonts w:ascii="Times New Roman" w:hAnsi="Times New Roman" w:cs="Times New Roman"/>
          <w:sz w:val="20"/>
          <w:szCs w:val="20"/>
        </w:rPr>
        <w:t xml:space="preserve"> (SPD)</w:t>
      </w:r>
      <w:r w:rsidR="00CC01A5" w:rsidRPr="0006553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00"/>
        <w:gridCol w:w="6666"/>
        <w:gridCol w:w="1696"/>
      </w:tblGrid>
      <w:tr w:rsidR="00322FF8" w:rsidRPr="00065535" w:rsidTr="009903B7">
        <w:trPr>
          <w:trHeight w:val="533"/>
          <w:tblHeader/>
          <w:jc w:val="center"/>
        </w:trPr>
        <w:tc>
          <w:tcPr>
            <w:tcW w:w="700" w:type="dxa"/>
            <w:shd w:val="clear" w:color="auto" w:fill="D9D9D9" w:themeFill="background1" w:themeFillShade="D9"/>
            <w:vAlign w:val="center"/>
          </w:tcPr>
          <w:p w:rsidR="00322FF8" w:rsidRPr="00065535" w:rsidRDefault="00D22643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065535">
              <w:rPr>
                <w:color w:val="auto"/>
                <w:sz w:val="20"/>
              </w:rPr>
              <w:t>Lp.</w:t>
            </w:r>
          </w:p>
        </w:tc>
        <w:tc>
          <w:tcPr>
            <w:tcW w:w="6666" w:type="dxa"/>
            <w:shd w:val="clear" w:color="auto" w:fill="D9D9D9" w:themeFill="background1" w:themeFillShade="D9"/>
            <w:vAlign w:val="center"/>
          </w:tcPr>
          <w:p w:rsidR="00322FF8" w:rsidRPr="00065535" w:rsidRDefault="00322FF8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065535">
              <w:rPr>
                <w:color w:val="auto"/>
                <w:sz w:val="20"/>
              </w:rPr>
              <w:t>Sposób pozyskania danych o punkcie granicznym</w:t>
            </w:r>
            <w:r w:rsidR="00D22643" w:rsidRPr="00065535">
              <w:rPr>
                <w:color w:val="auto"/>
                <w:sz w:val="20"/>
              </w:rPr>
              <w:t xml:space="preserve"> (SPD)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322FF8" w:rsidRPr="00065535" w:rsidRDefault="00322FF8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065535">
              <w:rPr>
                <w:color w:val="auto"/>
                <w:sz w:val="20"/>
              </w:rPr>
              <w:t>Dotychczasowy atrybut ZRD</w:t>
            </w:r>
          </w:p>
        </w:tc>
      </w:tr>
      <w:tr w:rsidR="00322FF8" w:rsidRPr="00065535" w:rsidTr="00D22643">
        <w:trPr>
          <w:trHeight w:val="556"/>
          <w:jc w:val="center"/>
        </w:trPr>
        <w:tc>
          <w:tcPr>
            <w:tcW w:w="700" w:type="dxa"/>
            <w:vAlign w:val="center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vAlign w:val="center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ustalony</w:t>
            </w:r>
          </w:p>
        </w:tc>
        <w:tc>
          <w:tcPr>
            <w:tcW w:w="1696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1, 3, 5, 6</w:t>
            </w:r>
          </w:p>
        </w:tc>
      </w:tr>
      <w:tr w:rsidR="00322FF8" w:rsidRPr="00065535" w:rsidTr="00D22643">
        <w:trPr>
          <w:trHeight w:val="564"/>
          <w:jc w:val="center"/>
        </w:trPr>
        <w:tc>
          <w:tcPr>
            <w:tcW w:w="700" w:type="dxa"/>
            <w:vAlign w:val="center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66" w:type="dxa"/>
            <w:vAlign w:val="center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nieustalony</w:t>
            </w:r>
          </w:p>
        </w:tc>
        <w:tc>
          <w:tcPr>
            <w:tcW w:w="1696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2, 4, 7, 8,</w:t>
            </w:r>
            <w:r w:rsidR="00695921">
              <w:rPr>
                <w:rFonts w:cs="Times New Roman"/>
                <w:sz w:val="20"/>
                <w:szCs w:val="20"/>
              </w:rPr>
              <w:t xml:space="preserve"> </w:t>
            </w:r>
            <w:r w:rsidRPr="00065535">
              <w:rPr>
                <w:rFonts w:cs="Times New Roman"/>
                <w:sz w:val="20"/>
                <w:szCs w:val="20"/>
              </w:rPr>
              <w:t>9</w:t>
            </w:r>
          </w:p>
        </w:tc>
      </w:tr>
    </w:tbl>
    <w:p w:rsidR="00322FF8" w:rsidRPr="00065535" w:rsidRDefault="00322FF8" w:rsidP="00322FF8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Punkt graniczny przyjmuje wartość </w:t>
      </w:r>
      <w:r w:rsidR="0024429F" w:rsidRPr="00065535">
        <w:rPr>
          <w:rFonts w:ascii="Times New Roman" w:hAnsi="Times New Roman" w:cs="Times New Roman"/>
          <w:sz w:val="20"/>
          <w:szCs w:val="20"/>
        </w:rPr>
        <w:t>atrybutu SPD jako „</w:t>
      </w:r>
      <w:r w:rsidRPr="00065535">
        <w:rPr>
          <w:rFonts w:ascii="Times New Roman" w:hAnsi="Times New Roman" w:cs="Times New Roman"/>
          <w:sz w:val="20"/>
          <w:szCs w:val="20"/>
        </w:rPr>
        <w:t>ustalony</w:t>
      </w:r>
      <w:r w:rsidR="0024429F" w:rsidRPr="00065535">
        <w:rPr>
          <w:rFonts w:ascii="Times New Roman" w:hAnsi="Times New Roman" w:cs="Times New Roman"/>
          <w:sz w:val="20"/>
          <w:szCs w:val="20"/>
        </w:rPr>
        <w:t>”</w:t>
      </w:r>
      <w:r w:rsidRPr="00065535">
        <w:rPr>
          <w:rFonts w:ascii="Times New Roman" w:hAnsi="Times New Roman" w:cs="Times New Roman"/>
          <w:sz w:val="20"/>
          <w:szCs w:val="20"/>
        </w:rPr>
        <w:t xml:space="preserve"> w przypadku:</w:t>
      </w:r>
    </w:p>
    <w:p w:rsidR="00322FF8" w:rsidRPr="00065535" w:rsidRDefault="00322FF8" w:rsidP="00065535">
      <w:pPr>
        <w:pStyle w:val="Akapitzlist"/>
        <w:numPr>
          <w:ilvl w:val="0"/>
          <w:numId w:val="2"/>
        </w:numPr>
        <w:spacing w:after="12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geodezyjnych pomiarów terenowych poprzedzonych:</w:t>
      </w:r>
    </w:p>
    <w:p w:rsidR="00322FF8" w:rsidRPr="00065535" w:rsidRDefault="00322FF8" w:rsidP="00065535">
      <w:pPr>
        <w:pStyle w:val="Akapitzlist"/>
        <w:numPr>
          <w:ilvl w:val="0"/>
          <w:numId w:val="3"/>
        </w:numPr>
        <w:spacing w:after="120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rozgraniczeniem nieruchomości, </w:t>
      </w:r>
    </w:p>
    <w:p w:rsidR="00322FF8" w:rsidRPr="00065535" w:rsidRDefault="00322FF8" w:rsidP="00065535">
      <w:pPr>
        <w:pStyle w:val="Akapitzlist"/>
        <w:numPr>
          <w:ilvl w:val="0"/>
          <w:numId w:val="3"/>
        </w:numPr>
        <w:spacing w:after="120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wznowieniem znaków granicznych, wyznaczeniem punktów granicznych lub </w:t>
      </w:r>
    </w:p>
    <w:p w:rsidR="00322FF8" w:rsidRPr="00065535" w:rsidRDefault="00322FF8" w:rsidP="00065535">
      <w:pPr>
        <w:pStyle w:val="Akapitzlist"/>
        <w:numPr>
          <w:ilvl w:val="0"/>
          <w:numId w:val="3"/>
        </w:numPr>
        <w:spacing w:after="120"/>
        <w:ind w:left="114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ustaleniem ich położenia w innym trybie, w tym w trybie określonym w §</w:t>
      </w:r>
      <w:r w:rsidR="00D22643" w:rsidRPr="00065535">
        <w:rPr>
          <w:rFonts w:ascii="Times New Roman" w:hAnsi="Times New Roman" w:cs="Times New Roman"/>
          <w:sz w:val="20"/>
          <w:szCs w:val="20"/>
        </w:rPr>
        <w:t> 38</w:t>
      </w:r>
      <w:r w:rsidR="00F82571">
        <w:rPr>
          <w:rFonts w:ascii="Times New Roman" w:hAnsi="Times New Roman" w:cs="Times New Roman"/>
          <w:sz w:val="20"/>
          <w:szCs w:val="20"/>
        </w:rPr>
        <w:t xml:space="preserve"> rozporządzenia;</w:t>
      </w:r>
      <w:bookmarkStart w:id="0" w:name="_GoBack"/>
      <w:bookmarkEnd w:id="0"/>
    </w:p>
    <w:p w:rsidR="00322FF8" w:rsidRPr="00065535" w:rsidRDefault="00322FF8" w:rsidP="00065535">
      <w:pPr>
        <w:pStyle w:val="Akapitzlist"/>
        <w:numPr>
          <w:ilvl w:val="0"/>
          <w:numId w:val="2"/>
        </w:numPr>
        <w:spacing w:after="12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geodezyjnych pomiarów fotogrametrycznych punktów granicznych, których położenie zostało uprzednio ustalone, a także pomiary fotogrametryczne znaków granicznych uwidocznionych na zdjęciach lotniczych lub na </w:t>
      </w:r>
      <w:proofErr w:type="spellStart"/>
      <w:r w:rsidRPr="00065535">
        <w:rPr>
          <w:rFonts w:ascii="Times New Roman" w:hAnsi="Times New Roman" w:cs="Times New Roman"/>
          <w:sz w:val="20"/>
          <w:szCs w:val="20"/>
        </w:rPr>
        <w:t>ortofotomapie</w:t>
      </w:r>
      <w:proofErr w:type="spellEnd"/>
      <w:r w:rsidRPr="00065535">
        <w:rPr>
          <w:rFonts w:ascii="Times New Roman" w:hAnsi="Times New Roman" w:cs="Times New Roman"/>
          <w:sz w:val="20"/>
          <w:szCs w:val="20"/>
        </w:rPr>
        <w:t xml:space="preserve"> w wyniku ich sygnalizacji przed wykonaniem zdjęć</w:t>
      </w:r>
      <w:r w:rsidR="0012524A" w:rsidRPr="00065535">
        <w:rPr>
          <w:rFonts w:ascii="Times New Roman" w:hAnsi="Times New Roman" w:cs="Times New Roman"/>
          <w:sz w:val="20"/>
          <w:szCs w:val="20"/>
        </w:rPr>
        <w:t>;</w:t>
      </w:r>
    </w:p>
    <w:p w:rsidR="0012524A" w:rsidRPr="00065535" w:rsidRDefault="0012524A" w:rsidP="00065535">
      <w:pPr>
        <w:pStyle w:val="Akapitzlist"/>
        <w:numPr>
          <w:ilvl w:val="0"/>
          <w:numId w:val="2"/>
        </w:numPr>
        <w:spacing w:after="12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podziału nieruchomości lub scalenia i podziału nieruchomości, dla punktów nowych;</w:t>
      </w:r>
    </w:p>
    <w:p w:rsidR="0012524A" w:rsidRPr="00065535" w:rsidRDefault="0012524A" w:rsidP="00065535">
      <w:pPr>
        <w:pStyle w:val="Akapitzlist"/>
        <w:numPr>
          <w:ilvl w:val="0"/>
          <w:numId w:val="2"/>
        </w:numPr>
        <w:spacing w:after="120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zatwierdzonych projektów scalenia lub wymiany gruntów.</w:t>
      </w:r>
    </w:p>
    <w:p w:rsidR="0012524A" w:rsidRPr="00065535" w:rsidRDefault="0012524A" w:rsidP="0012524A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Punkt graniczny przyjmuje wartość </w:t>
      </w:r>
      <w:r w:rsidR="0024429F" w:rsidRPr="00065535">
        <w:rPr>
          <w:rFonts w:ascii="Times New Roman" w:hAnsi="Times New Roman" w:cs="Times New Roman"/>
          <w:sz w:val="20"/>
          <w:szCs w:val="20"/>
        </w:rPr>
        <w:t>atrybutu SPD jako „</w:t>
      </w:r>
      <w:r w:rsidRPr="00065535">
        <w:rPr>
          <w:rFonts w:ascii="Times New Roman" w:hAnsi="Times New Roman" w:cs="Times New Roman"/>
          <w:sz w:val="20"/>
          <w:szCs w:val="20"/>
        </w:rPr>
        <w:t>nieustalony</w:t>
      </w:r>
      <w:r w:rsidR="0024429F" w:rsidRPr="00065535">
        <w:rPr>
          <w:rFonts w:ascii="Times New Roman" w:hAnsi="Times New Roman" w:cs="Times New Roman"/>
          <w:sz w:val="20"/>
          <w:szCs w:val="20"/>
        </w:rPr>
        <w:t>”</w:t>
      </w:r>
      <w:r w:rsidRPr="00065535">
        <w:rPr>
          <w:rFonts w:ascii="Times New Roman" w:hAnsi="Times New Roman" w:cs="Times New Roman"/>
          <w:sz w:val="20"/>
          <w:szCs w:val="20"/>
        </w:rPr>
        <w:t xml:space="preserve"> w pozostałych przypadkach.</w:t>
      </w:r>
    </w:p>
    <w:p w:rsidR="0012524A" w:rsidRPr="00065535" w:rsidRDefault="0086672C" w:rsidP="0012524A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Informacja o s</w:t>
      </w:r>
      <w:r w:rsidR="00CC01A5" w:rsidRPr="00065535">
        <w:rPr>
          <w:rFonts w:ascii="Times New Roman" w:hAnsi="Times New Roman" w:cs="Times New Roman"/>
          <w:sz w:val="20"/>
          <w:szCs w:val="20"/>
        </w:rPr>
        <w:t>pełnieni</w:t>
      </w:r>
      <w:r w:rsidRPr="00065535">
        <w:rPr>
          <w:rFonts w:ascii="Times New Roman" w:hAnsi="Times New Roman" w:cs="Times New Roman"/>
          <w:sz w:val="20"/>
          <w:szCs w:val="20"/>
        </w:rPr>
        <w:t>u</w:t>
      </w:r>
      <w:r w:rsidR="00CC01A5" w:rsidRPr="00065535">
        <w:rPr>
          <w:rFonts w:ascii="Times New Roman" w:hAnsi="Times New Roman" w:cs="Times New Roman"/>
          <w:sz w:val="20"/>
          <w:szCs w:val="20"/>
        </w:rPr>
        <w:t xml:space="preserve"> warunków dokładnościowych przez punkt graniczny</w:t>
      </w:r>
      <w:r w:rsidR="0024429F" w:rsidRPr="00065535">
        <w:rPr>
          <w:rFonts w:ascii="Times New Roman" w:hAnsi="Times New Roman" w:cs="Times New Roman"/>
          <w:sz w:val="20"/>
          <w:szCs w:val="20"/>
        </w:rPr>
        <w:t xml:space="preserve"> (</w:t>
      </w:r>
      <w:r w:rsidRPr="00065535">
        <w:rPr>
          <w:rFonts w:ascii="Times New Roman" w:hAnsi="Times New Roman" w:cs="Times New Roman"/>
          <w:sz w:val="20"/>
          <w:szCs w:val="20"/>
        </w:rPr>
        <w:t>ISD</w:t>
      </w:r>
      <w:r w:rsidR="0024429F" w:rsidRPr="00065535">
        <w:rPr>
          <w:rFonts w:ascii="Times New Roman" w:hAnsi="Times New Roman" w:cs="Times New Roman"/>
          <w:sz w:val="20"/>
          <w:szCs w:val="20"/>
        </w:rPr>
        <w:t>)</w:t>
      </w:r>
      <w:r w:rsidR="00CC01A5" w:rsidRPr="0006553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704"/>
        <w:gridCol w:w="6662"/>
        <w:gridCol w:w="1696"/>
      </w:tblGrid>
      <w:tr w:rsidR="0012524A" w:rsidRPr="00065535" w:rsidTr="006951DC">
        <w:trPr>
          <w:trHeight w:val="400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12524A" w:rsidRPr="00065535" w:rsidRDefault="006951DC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bookmarkStart w:id="1" w:name="_Hlk6134963"/>
            <w:r w:rsidRPr="00065535">
              <w:rPr>
                <w:color w:val="auto"/>
                <w:sz w:val="20"/>
              </w:rPr>
              <w:t>Lp.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12524A" w:rsidRPr="00065535" w:rsidRDefault="0086672C" w:rsidP="0086672C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065535">
              <w:rPr>
                <w:color w:val="auto"/>
                <w:sz w:val="20"/>
              </w:rPr>
              <w:t>Informacja o spełnieniu</w:t>
            </w:r>
            <w:r w:rsidR="0012524A" w:rsidRPr="00065535">
              <w:rPr>
                <w:color w:val="auto"/>
                <w:sz w:val="20"/>
              </w:rPr>
              <w:t xml:space="preserve"> </w:t>
            </w:r>
            <w:r w:rsidR="00486ACF" w:rsidRPr="00065535">
              <w:rPr>
                <w:color w:val="auto"/>
                <w:sz w:val="20"/>
              </w:rPr>
              <w:t>warunków</w:t>
            </w:r>
            <w:r w:rsidR="0012524A" w:rsidRPr="00065535">
              <w:rPr>
                <w:color w:val="auto"/>
                <w:sz w:val="20"/>
              </w:rPr>
              <w:t xml:space="preserve"> dokładnościowych</w:t>
            </w:r>
            <w:r w:rsidR="00486ACF" w:rsidRPr="00065535">
              <w:rPr>
                <w:color w:val="auto"/>
                <w:sz w:val="20"/>
              </w:rPr>
              <w:t xml:space="preserve"> przez punkt graniczny</w:t>
            </w:r>
            <w:r w:rsidR="006951DC" w:rsidRPr="00065535">
              <w:rPr>
                <w:color w:val="auto"/>
                <w:sz w:val="20"/>
              </w:rPr>
              <w:t xml:space="preserve"> (</w:t>
            </w:r>
            <w:r w:rsidRPr="00065535">
              <w:rPr>
                <w:color w:val="auto"/>
                <w:sz w:val="20"/>
              </w:rPr>
              <w:t>ISD</w:t>
            </w:r>
            <w:r w:rsidR="006951DC" w:rsidRPr="00065535">
              <w:rPr>
                <w:color w:val="auto"/>
                <w:sz w:val="20"/>
              </w:rPr>
              <w:t>)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12524A" w:rsidRPr="00065535" w:rsidRDefault="0012524A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065535">
              <w:rPr>
                <w:color w:val="auto"/>
                <w:sz w:val="20"/>
              </w:rPr>
              <w:t>Dotychczasowy atrybut BPP</w:t>
            </w:r>
          </w:p>
        </w:tc>
      </w:tr>
      <w:tr w:rsidR="0012524A" w:rsidRPr="00065535" w:rsidTr="006951DC">
        <w:trPr>
          <w:trHeight w:val="399"/>
          <w:jc w:val="center"/>
        </w:trPr>
        <w:tc>
          <w:tcPr>
            <w:tcW w:w="704" w:type="dxa"/>
          </w:tcPr>
          <w:p w:rsidR="0012524A" w:rsidRPr="00065535" w:rsidRDefault="0012524A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12524A" w:rsidRPr="00065535" w:rsidRDefault="0024429F" w:rsidP="0024429F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Spełnia</w:t>
            </w:r>
          </w:p>
        </w:tc>
        <w:tc>
          <w:tcPr>
            <w:tcW w:w="1696" w:type="dxa"/>
          </w:tcPr>
          <w:p w:rsidR="0012524A" w:rsidRPr="00065535" w:rsidRDefault="0012524A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1, 2</w:t>
            </w:r>
          </w:p>
        </w:tc>
      </w:tr>
      <w:tr w:rsidR="0012524A" w:rsidRPr="00065535" w:rsidTr="006951DC">
        <w:trPr>
          <w:trHeight w:val="411"/>
          <w:jc w:val="center"/>
        </w:trPr>
        <w:tc>
          <w:tcPr>
            <w:tcW w:w="704" w:type="dxa"/>
          </w:tcPr>
          <w:p w:rsidR="0012524A" w:rsidRPr="00065535" w:rsidRDefault="0012524A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12524A" w:rsidRPr="00065535" w:rsidRDefault="0024429F" w:rsidP="0024429F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Nie spełnia</w:t>
            </w:r>
          </w:p>
        </w:tc>
        <w:tc>
          <w:tcPr>
            <w:tcW w:w="1696" w:type="dxa"/>
          </w:tcPr>
          <w:p w:rsidR="0012524A" w:rsidRPr="00065535" w:rsidRDefault="0012524A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3, 4, 5, 6</w:t>
            </w:r>
          </w:p>
        </w:tc>
      </w:tr>
    </w:tbl>
    <w:bookmarkEnd w:id="1"/>
    <w:p w:rsidR="0024429F" w:rsidRPr="00065535" w:rsidRDefault="0024429F" w:rsidP="0024429F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Punkt graniczny przyjmuje wartość atrybutu </w:t>
      </w:r>
      <w:r w:rsidR="0086672C" w:rsidRPr="00065535">
        <w:rPr>
          <w:rFonts w:ascii="Times New Roman" w:hAnsi="Times New Roman" w:cs="Times New Roman"/>
          <w:sz w:val="20"/>
          <w:szCs w:val="20"/>
        </w:rPr>
        <w:t>IS</w:t>
      </w:r>
      <w:r w:rsidRPr="00065535">
        <w:rPr>
          <w:rFonts w:ascii="Times New Roman" w:hAnsi="Times New Roman" w:cs="Times New Roman"/>
          <w:sz w:val="20"/>
          <w:szCs w:val="20"/>
        </w:rPr>
        <w:t>D jako „spełnia” w przypadku określenia położenia punktu względem punktów poziomej osnowy geodezyjnej lub pomiarowej, z dokładnością nie mniejszą niż 0,10 m.</w:t>
      </w:r>
    </w:p>
    <w:p w:rsidR="0024429F" w:rsidRPr="00065535" w:rsidRDefault="0024429F" w:rsidP="0024429F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 xml:space="preserve">Punkt graniczny przyjmuje wartość atrybutu </w:t>
      </w:r>
      <w:r w:rsidR="0086672C" w:rsidRPr="00065535">
        <w:rPr>
          <w:rFonts w:ascii="Times New Roman" w:hAnsi="Times New Roman" w:cs="Times New Roman"/>
          <w:sz w:val="20"/>
          <w:szCs w:val="20"/>
        </w:rPr>
        <w:t>IS</w:t>
      </w:r>
      <w:r w:rsidRPr="00065535">
        <w:rPr>
          <w:rFonts w:ascii="Times New Roman" w:hAnsi="Times New Roman" w:cs="Times New Roman"/>
          <w:sz w:val="20"/>
          <w:szCs w:val="20"/>
        </w:rPr>
        <w:t>D jako „nie spełnia” w pozostałych przypadkach.</w:t>
      </w:r>
    </w:p>
    <w:p w:rsidR="0024429F" w:rsidRPr="00065535" w:rsidRDefault="0086672C" w:rsidP="00486ACF">
      <w:pPr>
        <w:pStyle w:val="Akapitzlist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65535">
        <w:rPr>
          <w:rFonts w:ascii="Times New Roman" w:hAnsi="Times New Roman" w:cs="Times New Roman"/>
          <w:sz w:val="20"/>
          <w:szCs w:val="20"/>
        </w:rPr>
        <w:t>Informacja o</w:t>
      </w:r>
      <w:r w:rsidR="0024429F" w:rsidRPr="00065535">
        <w:rPr>
          <w:rFonts w:ascii="Times New Roman" w:hAnsi="Times New Roman" w:cs="Times New Roman"/>
          <w:sz w:val="20"/>
          <w:szCs w:val="20"/>
        </w:rPr>
        <w:t xml:space="preserve"> stabilizacji punktu granicznego: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222"/>
      </w:tblGrid>
      <w:tr w:rsidR="00322FF8" w:rsidRPr="00065535" w:rsidTr="009903B7">
        <w:trPr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22FF8" w:rsidRPr="00065535" w:rsidRDefault="009903B7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bookmarkStart w:id="2" w:name="_Hlk6135098"/>
            <w:r w:rsidRPr="00065535">
              <w:rPr>
                <w:color w:val="auto"/>
                <w:sz w:val="20"/>
              </w:rPr>
              <w:t>Lp.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322FF8" w:rsidRPr="00065535" w:rsidRDefault="0086672C" w:rsidP="00B630A0">
            <w:pPr>
              <w:pStyle w:val="TabelaN"/>
              <w:framePr w:hSpace="0" w:wrap="auto" w:vAnchor="margin" w:hAnchor="text" w:xAlign="left" w:yAlign="inline"/>
              <w:rPr>
                <w:color w:val="auto"/>
                <w:sz w:val="20"/>
              </w:rPr>
            </w:pPr>
            <w:r w:rsidRPr="00065535">
              <w:rPr>
                <w:color w:val="auto"/>
                <w:sz w:val="20"/>
              </w:rPr>
              <w:t>Informacja o</w:t>
            </w:r>
            <w:r w:rsidR="009903B7" w:rsidRPr="00065535">
              <w:rPr>
                <w:color w:val="auto"/>
                <w:sz w:val="20"/>
              </w:rPr>
              <w:t xml:space="preserve"> stabilizacji punktu granicznego (STB)</w:t>
            </w:r>
          </w:p>
        </w:tc>
      </w:tr>
      <w:tr w:rsidR="00322FF8" w:rsidRPr="00065535" w:rsidTr="009903B7">
        <w:trPr>
          <w:jc w:val="center"/>
        </w:trPr>
        <w:tc>
          <w:tcPr>
            <w:tcW w:w="704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brak informacji</w:t>
            </w:r>
          </w:p>
        </w:tc>
      </w:tr>
      <w:tr w:rsidR="00322FF8" w:rsidRPr="00065535" w:rsidTr="009903B7">
        <w:trPr>
          <w:jc w:val="center"/>
        </w:trPr>
        <w:tc>
          <w:tcPr>
            <w:tcW w:w="704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niestabilizowany</w:t>
            </w:r>
          </w:p>
        </w:tc>
      </w:tr>
      <w:tr w:rsidR="00322FF8" w:rsidRPr="00065535" w:rsidTr="009903B7">
        <w:trPr>
          <w:jc w:val="center"/>
        </w:trPr>
        <w:tc>
          <w:tcPr>
            <w:tcW w:w="704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322FF8" w:rsidRPr="00065535" w:rsidRDefault="009903B7" w:rsidP="009903B7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znak naziemny</w:t>
            </w:r>
          </w:p>
        </w:tc>
      </w:tr>
      <w:tr w:rsidR="00322FF8" w:rsidRPr="00065535" w:rsidTr="009903B7">
        <w:trPr>
          <w:jc w:val="center"/>
        </w:trPr>
        <w:tc>
          <w:tcPr>
            <w:tcW w:w="704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222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znak naziemny i podziemny</w:t>
            </w:r>
          </w:p>
        </w:tc>
      </w:tr>
      <w:tr w:rsidR="00322FF8" w:rsidRPr="00065535" w:rsidTr="009903B7">
        <w:trPr>
          <w:jc w:val="center"/>
        </w:trPr>
        <w:tc>
          <w:tcPr>
            <w:tcW w:w="704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322FF8" w:rsidRPr="00065535" w:rsidRDefault="00322FF8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znak podziemny</w:t>
            </w:r>
          </w:p>
        </w:tc>
      </w:tr>
      <w:tr w:rsidR="009903B7" w:rsidRPr="00065535" w:rsidTr="009903B7">
        <w:trPr>
          <w:jc w:val="center"/>
        </w:trPr>
        <w:tc>
          <w:tcPr>
            <w:tcW w:w="704" w:type="dxa"/>
          </w:tcPr>
          <w:p w:rsidR="009903B7" w:rsidRPr="00065535" w:rsidRDefault="009903B7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9903B7" w:rsidRPr="00065535" w:rsidRDefault="009903B7" w:rsidP="00B630A0">
            <w:pPr>
              <w:pStyle w:val="Tabela"/>
              <w:jc w:val="center"/>
              <w:rPr>
                <w:rFonts w:cs="Times New Roman"/>
                <w:sz w:val="20"/>
                <w:szCs w:val="20"/>
              </w:rPr>
            </w:pPr>
            <w:r w:rsidRPr="00065535">
              <w:rPr>
                <w:rFonts w:cs="Times New Roman"/>
                <w:sz w:val="20"/>
                <w:szCs w:val="20"/>
              </w:rPr>
              <w:t>szczegół terenowy I grupy dokładnościowej</w:t>
            </w:r>
          </w:p>
        </w:tc>
      </w:tr>
      <w:bookmarkEnd w:id="2"/>
    </w:tbl>
    <w:p w:rsidR="007F6BD0" w:rsidRDefault="007F6BD0"/>
    <w:sectPr w:rsidR="007F6BD0" w:rsidSect="009903B7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31B6"/>
    <w:multiLevelType w:val="hybridMultilevel"/>
    <w:tmpl w:val="506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D4E"/>
    <w:multiLevelType w:val="hybridMultilevel"/>
    <w:tmpl w:val="BE763D78"/>
    <w:lvl w:ilvl="0" w:tplc="04150011">
      <w:start w:val="1"/>
      <w:numFmt w:val="decimal"/>
      <w:lvlText w:val="%1)"/>
      <w:lvlJc w:val="left"/>
      <w:pPr>
        <w:ind w:left="1203" w:hanging="360"/>
      </w:pPr>
    </w:lvl>
    <w:lvl w:ilvl="1" w:tplc="04150019" w:tentative="1">
      <w:start w:val="1"/>
      <w:numFmt w:val="lowerLetter"/>
      <w:lvlText w:val="%2."/>
      <w:lvlJc w:val="left"/>
      <w:pPr>
        <w:ind w:left="1923" w:hanging="360"/>
      </w:pPr>
    </w:lvl>
    <w:lvl w:ilvl="2" w:tplc="0415001B" w:tentative="1">
      <w:start w:val="1"/>
      <w:numFmt w:val="lowerRoman"/>
      <w:lvlText w:val="%3."/>
      <w:lvlJc w:val="right"/>
      <w:pPr>
        <w:ind w:left="2643" w:hanging="180"/>
      </w:pPr>
    </w:lvl>
    <w:lvl w:ilvl="3" w:tplc="0415000F" w:tentative="1">
      <w:start w:val="1"/>
      <w:numFmt w:val="decimal"/>
      <w:lvlText w:val="%4."/>
      <w:lvlJc w:val="left"/>
      <w:pPr>
        <w:ind w:left="3363" w:hanging="360"/>
      </w:pPr>
    </w:lvl>
    <w:lvl w:ilvl="4" w:tplc="04150019" w:tentative="1">
      <w:start w:val="1"/>
      <w:numFmt w:val="lowerLetter"/>
      <w:lvlText w:val="%5."/>
      <w:lvlJc w:val="left"/>
      <w:pPr>
        <w:ind w:left="4083" w:hanging="360"/>
      </w:pPr>
    </w:lvl>
    <w:lvl w:ilvl="5" w:tplc="0415001B" w:tentative="1">
      <w:start w:val="1"/>
      <w:numFmt w:val="lowerRoman"/>
      <w:lvlText w:val="%6."/>
      <w:lvlJc w:val="right"/>
      <w:pPr>
        <w:ind w:left="4803" w:hanging="180"/>
      </w:pPr>
    </w:lvl>
    <w:lvl w:ilvl="6" w:tplc="0415000F" w:tentative="1">
      <w:start w:val="1"/>
      <w:numFmt w:val="decimal"/>
      <w:lvlText w:val="%7."/>
      <w:lvlJc w:val="left"/>
      <w:pPr>
        <w:ind w:left="5523" w:hanging="360"/>
      </w:pPr>
    </w:lvl>
    <w:lvl w:ilvl="7" w:tplc="04150019" w:tentative="1">
      <w:start w:val="1"/>
      <w:numFmt w:val="lowerLetter"/>
      <w:lvlText w:val="%8."/>
      <w:lvlJc w:val="left"/>
      <w:pPr>
        <w:ind w:left="6243" w:hanging="360"/>
      </w:pPr>
    </w:lvl>
    <w:lvl w:ilvl="8" w:tplc="0415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 w15:restartNumberingAfterBreak="0">
    <w:nsid w:val="719520EF"/>
    <w:multiLevelType w:val="hybridMultilevel"/>
    <w:tmpl w:val="44026508"/>
    <w:lvl w:ilvl="0" w:tplc="04150017">
      <w:start w:val="1"/>
      <w:numFmt w:val="lowerLetter"/>
      <w:lvlText w:val="%1)"/>
      <w:lvlJc w:val="left"/>
      <w:pPr>
        <w:ind w:left="1563" w:hanging="360"/>
      </w:pPr>
    </w:lvl>
    <w:lvl w:ilvl="1" w:tplc="04150019" w:tentative="1">
      <w:start w:val="1"/>
      <w:numFmt w:val="lowerLetter"/>
      <w:lvlText w:val="%2."/>
      <w:lvlJc w:val="left"/>
      <w:pPr>
        <w:ind w:left="2283" w:hanging="360"/>
      </w:pPr>
    </w:lvl>
    <w:lvl w:ilvl="2" w:tplc="0415001B" w:tentative="1">
      <w:start w:val="1"/>
      <w:numFmt w:val="lowerRoman"/>
      <w:lvlText w:val="%3."/>
      <w:lvlJc w:val="right"/>
      <w:pPr>
        <w:ind w:left="3003" w:hanging="180"/>
      </w:pPr>
    </w:lvl>
    <w:lvl w:ilvl="3" w:tplc="0415000F" w:tentative="1">
      <w:start w:val="1"/>
      <w:numFmt w:val="decimal"/>
      <w:lvlText w:val="%4."/>
      <w:lvlJc w:val="left"/>
      <w:pPr>
        <w:ind w:left="3723" w:hanging="360"/>
      </w:pPr>
    </w:lvl>
    <w:lvl w:ilvl="4" w:tplc="04150019" w:tentative="1">
      <w:start w:val="1"/>
      <w:numFmt w:val="lowerLetter"/>
      <w:lvlText w:val="%5."/>
      <w:lvlJc w:val="left"/>
      <w:pPr>
        <w:ind w:left="4443" w:hanging="360"/>
      </w:pPr>
    </w:lvl>
    <w:lvl w:ilvl="5" w:tplc="0415001B" w:tentative="1">
      <w:start w:val="1"/>
      <w:numFmt w:val="lowerRoman"/>
      <w:lvlText w:val="%6."/>
      <w:lvlJc w:val="right"/>
      <w:pPr>
        <w:ind w:left="5163" w:hanging="180"/>
      </w:pPr>
    </w:lvl>
    <w:lvl w:ilvl="6" w:tplc="0415000F" w:tentative="1">
      <w:start w:val="1"/>
      <w:numFmt w:val="decimal"/>
      <w:lvlText w:val="%7."/>
      <w:lvlJc w:val="left"/>
      <w:pPr>
        <w:ind w:left="5883" w:hanging="360"/>
      </w:pPr>
    </w:lvl>
    <w:lvl w:ilvl="7" w:tplc="04150019" w:tentative="1">
      <w:start w:val="1"/>
      <w:numFmt w:val="lowerLetter"/>
      <w:lvlText w:val="%8."/>
      <w:lvlJc w:val="left"/>
      <w:pPr>
        <w:ind w:left="6603" w:hanging="360"/>
      </w:pPr>
    </w:lvl>
    <w:lvl w:ilvl="8" w:tplc="0415001B" w:tentative="1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D"/>
    <w:rsid w:val="00065535"/>
    <w:rsid w:val="0012524A"/>
    <w:rsid w:val="0024429F"/>
    <w:rsid w:val="0026502F"/>
    <w:rsid w:val="00322FF8"/>
    <w:rsid w:val="003D675D"/>
    <w:rsid w:val="00486ACF"/>
    <w:rsid w:val="006951DC"/>
    <w:rsid w:val="00695921"/>
    <w:rsid w:val="007F6BD0"/>
    <w:rsid w:val="0086672C"/>
    <w:rsid w:val="009903B7"/>
    <w:rsid w:val="00B92BC0"/>
    <w:rsid w:val="00CC01A5"/>
    <w:rsid w:val="00D22643"/>
    <w:rsid w:val="00F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ED83F-C482-477C-923B-73338066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FF8"/>
    <w:pPr>
      <w:spacing w:after="200" w:line="276" w:lineRule="auto"/>
    </w:pPr>
    <w:rPr>
      <w:rFonts w:ascii="Verdana" w:eastAsia="Verdana" w:hAnsi="Verdana" w:cs="Verdan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FF8"/>
    <w:pPr>
      <w:spacing w:after="0" w:line="240" w:lineRule="auto"/>
    </w:pPr>
    <w:rPr>
      <w:sz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a">
    <w:name w:val="Tabela"/>
    <w:basedOn w:val="Normalny"/>
    <w:link w:val="TabelaZnak"/>
    <w:qFormat/>
    <w:rsid w:val="00322FF8"/>
    <w:pPr>
      <w:spacing w:before="120" w:after="120" w:line="240" w:lineRule="auto"/>
      <w:jc w:val="both"/>
    </w:pPr>
    <w:rPr>
      <w:rFonts w:ascii="Times New Roman" w:eastAsiaTheme="minorHAnsi" w:hAnsi="Times New Roman" w:cstheme="minorBidi"/>
      <w:sz w:val="18"/>
      <w:lang w:eastAsia="en-US"/>
    </w:rPr>
  </w:style>
  <w:style w:type="paragraph" w:customStyle="1" w:styleId="TabelaN">
    <w:name w:val="Tabela_N"/>
    <w:basedOn w:val="Tabela"/>
    <w:link w:val="TabelaNZnak"/>
    <w:autoRedefine/>
    <w:qFormat/>
    <w:rsid w:val="00322FF8"/>
    <w:pPr>
      <w:framePr w:hSpace="141" w:wrap="around" w:vAnchor="page" w:hAnchor="page" w:x="2896" w:y="1261"/>
      <w:jc w:val="center"/>
    </w:pPr>
    <w:rPr>
      <w:rFonts w:cs="Times New Roman"/>
      <w:b/>
      <w:color w:val="00B050"/>
      <w:szCs w:val="20"/>
    </w:rPr>
  </w:style>
  <w:style w:type="character" w:customStyle="1" w:styleId="TabelaZnak">
    <w:name w:val="Tabela Znak"/>
    <w:basedOn w:val="Domylnaczcionkaakapitu"/>
    <w:link w:val="Tabela"/>
    <w:rsid w:val="00322FF8"/>
    <w:rPr>
      <w:rFonts w:ascii="Times New Roman" w:hAnsi="Times New Roman"/>
      <w:sz w:val="18"/>
    </w:rPr>
  </w:style>
  <w:style w:type="character" w:customStyle="1" w:styleId="TabelaNZnak">
    <w:name w:val="Tabela_N Znak"/>
    <w:basedOn w:val="TabelaZnak"/>
    <w:link w:val="TabelaN"/>
    <w:rsid w:val="00322FF8"/>
    <w:rPr>
      <w:rFonts w:ascii="Times New Roman" w:hAnsi="Times New Roman" w:cs="Times New Roman"/>
      <w:b/>
      <w:color w:val="00B050"/>
      <w:sz w:val="18"/>
      <w:szCs w:val="20"/>
    </w:rPr>
  </w:style>
  <w:style w:type="paragraph" w:styleId="Akapitzlist">
    <w:name w:val="List Paragraph"/>
    <w:basedOn w:val="Normalny"/>
    <w:uiPriority w:val="34"/>
    <w:qFormat/>
    <w:rsid w:val="00322F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GUGiK</dc:creator>
  <cp:keywords/>
  <dc:description/>
  <cp:lastModifiedBy>Kornatowska Żaneta</cp:lastModifiedBy>
  <cp:revision>4</cp:revision>
  <dcterms:created xsi:type="dcterms:W3CDTF">2021-04-29T13:05:00Z</dcterms:created>
  <dcterms:modified xsi:type="dcterms:W3CDTF">2021-05-06T07:37:00Z</dcterms:modified>
</cp:coreProperties>
</file>